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57A" w:rsidRPr="00EB257A" w:rsidRDefault="00EB257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Приложение 5</w:t>
      </w:r>
    </w:p>
    <w:p w:rsidR="00EB257A" w:rsidRPr="00EB257A" w:rsidRDefault="00EB25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EB257A" w:rsidRPr="00EB257A" w:rsidRDefault="00EB25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Ивановской области "Формирование</w:t>
      </w:r>
    </w:p>
    <w:p w:rsidR="00EB257A" w:rsidRPr="00EB257A" w:rsidRDefault="00EB25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современной городской среды"</w:t>
      </w:r>
    </w:p>
    <w:p w:rsidR="00EB257A" w:rsidRPr="00EB257A" w:rsidRDefault="00EB2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Методика</w:t>
      </w: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распределения и правила предоставления бюджету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Юрьевецкого</w:t>
      </w:r>
      <w:proofErr w:type="spellEnd"/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Юрьевецкого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Ивановской области иного межбюджетного трансферта</w:t>
      </w: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на реализацию концепции благоустройства города в рамках</w:t>
      </w: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подготовки к празднованию 800-летия основания</w:t>
      </w:r>
    </w:p>
    <w:p w:rsidR="00EB257A" w:rsidRPr="00EB257A" w:rsidRDefault="00EB2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г. Юрьевца Ивановской области</w:t>
      </w:r>
    </w:p>
    <w:p w:rsidR="00EB257A" w:rsidRPr="00EB257A" w:rsidRDefault="00EB257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EB257A">
        <w:rPr>
          <w:rFonts w:ascii="Times New Roman" w:hAnsi="Times New Roman" w:cs="Times New Roman"/>
          <w:sz w:val="28"/>
          <w:szCs w:val="28"/>
        </w:rPr>
        <w:t xml:space="preserve">1. Настоящие Методика и правила определяют условия и правила предоставления из областного бюджета иного межбюджетного трансферта бюджету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Юрьевецкого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Юрьевецкого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муниципальное образование, иной межбюджетный трансферт) на финансовое обеспечение расходных обязательств муниципального образования, возникающих при выполнении мероприятий муниципальной программы формирования комфортной городской среды в целях реализации концепции благоустройства города в рамках подготовки к празднованию 800-летия основания г. Юрьевца Ивановской области (далее - Концепция благоустройства города, иной межбюджетный трансферт).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Под Концепцией благоустройства города в целях предоставления иного межбюджетного трансферта понимается комплекс мероприятий по благоустройству одной или нескольких взаимосвязанных территорий общего пользования, направленных на улучшение архитектурного облика населенного пункта, создание пешеходных маршрутов, условий для рекреации и занятий спортом, повышение уровня санитарно-эпидемиологического и экологического благополучия жителей, а также мероприятий по созданию и восстановлению дорожных покрытий, озеленению, созданию и размещению малых архитектурных форм, созданию инфраструктуры, обслуживающей общественные пространства.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Перечень мероприятий в рамках Концепции благоустройства города, на которые может быть израсходован иной межбюджетный трансферт, включает: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разработку сметной документации (не более 1,5% от общего объема иного межбюджетного трансферта);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установку элементов благоустройства, к которым относятся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</w:t>
      </w:r>
      <w:r w:rsidRPr="00EB257A">
        <w:rPr>
          <w:rFonts w:ascii="Times New Roman" w:hAnsi="Times New Roman" w:cs="Times New Roman"/>
          <w:sz w:val="28"/>
          <w:szCs w:val="28"/>
        </w:rPr>
        <w:lastRenderedPageBreak/>
        <w:t>некапитальные нестационарные строения и сооружения, информационные щиты и указатели (не более 53,9% от общего объема иного межбюджетного трансферта);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устройство покрытий (в том числе резиновых, синтетических, песчаных, грунтовых, гравийных, деревянных, тротуарной плитки, асфальтобетонных, асфальтовых, щебеночных, газонов, искусственных газонов,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экоплитки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>, газонных решеток), направляющих дорожных устройств, стационарных искусственных неровностей, элементов сопряжения покрытий (в том числе бортовых камней, бордюров, линейных разделителей, садовых бортов, подпорных стенок, мостиков, лестниц, пандусов) (не более 44,6% от общего объема иного межбюджетного трансферта);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Реализация мероприятий в рамках Концепции благоустройства города осуществляется в рамках государственной программы "Формирование современной городской среды".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2. Распределение иного межбюджетного трансферта (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>) осуществляется по формуле:</w:t>
      </w: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Vсд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Vэб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Vуп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>, где:</w:t>
      </w: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Vсд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- объем средств на разработку сметной документации;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Vэб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- объем средств на установку элементов благоустройства;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Vуп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- объем средств на устройство покрытий и элементов сопряжения покрытий.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EB257A">
        <w:rPr>
          <w:rFonts w:ascii="Times New Roman" w:hAnsi="Times New Roman" w:cs="Times New Roman"/>
          <w:sz w:val="28"/>
          <w:szCs w:val="28"/>
        </w:rPr>
        <w:t>3. Условием предоставления иного межбюджетного трансферта является наличие муниципального правового акта, утверждающего муниципальную программу формирования комфортной городской среды, включающую мероприятия в рамках Концепции благоустройства города, в целях финансового обеспечения которых предоставляется иной межбюджетный трансферт в соответствии с требованиями нормативных правовых актов Ивановской области, и предусматривающего завершение мероприятий по ее реализации до 31 декабря года предоставления иного межбюджетного трансферта.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4. Для предоставления иного межбюджетного трансферта муниципальное образование направляет в Департамент строительства и архитектуры Ивановской области (далее - Департамент) заявку на предоставление иного межбюджетного трансферта бюджету муниципального образования с приложением копии утвержденной Главой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Юрьевецкого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муниципального района Концепции благоустройства города, в целях финансового обеспечения которой предоставляется иной межбюджетный трансферт, и расчета стоимости работ (услуг) в рамках Концепции благоустройства города.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lastRenderedPageBreak/>
        <w:t xml:space="preserve">5. Предоставление иного межбюджетного трансферта осуществляется в пределах объемов бюджетных ассигнований, предусмотренных законом Ивановской области об областном бюджете на очередной финансовый год и на плановый период (сводной бюджетной росписью областного бюджета), и лимитов бюджетных обязательств, доведенных до Департамента как получателя средств областного бюджета на предоставление иного межбюджетного трансферта на цели, указанные в </w:t>
      </w:r>
      <w:hyperlink w:anchor="P17">
        <w:r w:rsidRPr="00EB257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B257A">
        <w:rPr>
          <w:rFonts w:ascii="Times New Roman" w:hAnsi="Times New Roman" w:cs="Times New Roman"/>
          <w:sz w:val="28"/>
          <w:szCs w:val="28"/>
        </w:rPr>
        <w:t xml:space="preserve"> настоящих Методики и правил.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6. Предоставление иного межбюджетного трансферта осуществляется на основании соглашения о предоставлении иного межбюджетного трансферта, заключаемого в соответствии с типовой формой Соглашения, утвержденной Департаментом финансов Ивановской области (далее - Соглашение).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Основанием для внесения изменений в Соглашение является уменьшение сметной стоимости работ по реконструкции, ремонту инженерных коммуникаций, благоустройству общественных территорий, на финансирование которых предоставлен иной межбюджетный трансферт, по результатам проверки достоверности определения сметной стоимости указанных работ и (или) уменьшение цены муниципального контракта по результатам торгов на право его заключения.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иного межбюджетного трансферта,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иного межбюджетного трансферта оказалось невозможным вследствие обстоятельств непреодолимой силы, изменения значений целевых показателей и индикаторов государственной программы Ивановской области "Формирование современной городской среды", утвержденной постановлением Правительства Ивановской области от 01.09.2017 N 337-п, а также в случае сокращения размера иного межбюджетного трансферта.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Средства иного межбюджетного трансферта предоставляются на мероприятия, предусмотренные Концепцией благоустройства города, в пределах суммы, необходимой для оплаты денежных обязательств, на основании заявки муниципального образования о перечислении иного межбюджетного трансферта и следующих документов: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копии положительного заключения о достоверности определения сметной стоимости работ, связанных с ремонтом инженерных коммуникаций, благоустройством общественных территорий,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</w:t>
      </w:r>
      <w:r w:rsidRPr="00EB257A">
        <w:rPr>
          <w:rFonts w:ascii="Times New Roman" w:hAnsi="Times New Roman" w:cs="Times New Roman"/>
          <w:sz w:val="28"/>
          <w:szCs w:val="28"/>
        </w:rPr>
        <w:lastRenderedPageBreak/>
        <w:t>данному органу государственным учреждением;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копии утвержденной в установленном порядке проектной документации на реконструкцию инженерных коммуникаций, имеющей положительное заключение государственной экспертизы;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 xml:space="preserve">обоснования начальной (максимальной) цены контракта, цены контракта, заключаемого с единственным поставщиком (подрядчиком, исполнителем), на выполнение мероприятий, определенных </w:t>
      </w:r>
      <w:hyperlink w:anchor="P17">
        <w:r w:rsidRPr="00EB257A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EB257A">
        <w:rPr>
          <w:rFonts w:ascii="Times New Roman" w:hAnsi="Times New Roman" w:cs="Times New Roman"/>
          <w:sz w:val="28"/>
          <w:szCs w:val="28"/>
        </w:rPr>
        <w:t xml:space="preserve"> настоящих Методики и правил, рассчитанных в соответствии со </w:t>
      </w:r>
      <w:hyperlink r:id="rId4">
        <w:r w:rsidRPr="00EB257A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EB257A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копий муниципальных контрактов, заключаемых муниципальным образованием, источниками финансового обеспечения которых являются средства иного межбюджетного трансферта, копий дополнительных соглашений к муниципальным контрактам;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копии счета на оплату авансовых платежей по муниципальным контрактам, заключаемым муниципальным образованием, источниками финансового обеспечения которых являются средства иного межбюджетного трансферта, и (или) документов, подтверждающих приемку товаров, работ, услуг по муниципальным контрактам.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7. Перечисление средств иного межбюджетного трансферта бюджету муниципального образования осуществляется в установленном порядке на единый счет бюджета, открытый финансовому органу муниципального образования в Управлении Федерального казначейства по Ивановской области, - 03231 "Средства местных бюджетов" в пределах суммы, необходимой для оплаты денежных обязательств, соответствующей объему выполненных работ (сумме аванса) получателя средств местного бюджета.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8. Муниципальное образование представляет в Департамент по формам и срокам, определенным Соглашением: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финансового обеспечения которых предоставляется иной межбюджетный трансферт;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иного межбюджетного трансферта.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9. Результатом предоставления иного межбюджетного трансферта является достижение показателей, установленных по мероприятиям в рамках Концепции благоустройства города, в целях финансового обеспечения которой предоставляется иной межбюджетный трансферт, в срок, установленный Соглашением, заключенным между Департаментом и муниципальным образованием.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lastRenderedPageBreak/>
        <w:t>10. Оценка эффективности использования иного межбюджетного трансферта осуществляется Департаментом на основании сравнения планируемых и достигнутых значений результатов предоставления иного межбюджетного трансферта с учетом соблюдения сроков выполнения обязательств, предусмотренных Соглашением.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Значение показателей результативности использования иного межбюджетного трансферта, установленных по мероприятиям в рамках Концепции благоустройства города, и обязательства по их исполнению устанавливаются в Соглашении.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11. Ответственность за недостоверность предоставляемых Департаменту сведений возлагается на муниципальное образование.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12. В случае нецелевого использования иного межбюджетного трансферта и (или) нарушения условий его предоставления применяются бюджетные меры принуждения в соответствии с бюджетным законодательством Российской Федерации.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13. В случае если муниципальным образованием по состоянию на 31 декабря года предоставления иного межбюджетного трансферта допущены нарушения обязательств по достижению значения результата предоставления иного межбюджетного трансферта и до первой даты представления отчетности о достижении такого значения в году, следующем за годом предоставления иного межбюджетного трансферта, указанные нарушения не устранены, размер средств, подлежащий возврату в областной бюджет (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Vвозврата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Vвозврата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Vт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x (1 - T / S) x 0,1, где:</w:t>
      </w: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57A">
        <w:rPr>
          <w:rFonts w:ascii="Times New Roman" w:hAnsi="Times New Roman" w:cs="Times New Roman"/>
          <w:sz w:val="28"/>
          <w:szCs w:val="28"/>
        </w:rPr>
        <w:t>Vт</w:t>
      </w:r>
      <w:proofErr w:type="spellEnd"/>
      <w:r w:rsidRPr="00EB257A">
        <w:rPr>
          <w:rFonts w:ascii="Times New Roman" w:hAnsi="Times New Roman" w:cs="Times New Roman"/>
          <w:sz w:val="28"/>
          <w:szCs w:val="28"/>
        </w:rPr>
        <w:t xml:space="preserve"> - размер иного межбюджетного трансферта, предоставленного бюджету муниципального образования;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T - фактически достигнутое значение результата предоставления иного межбюджетного трансферта на отчетную дату;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S - значение результата предоставления иного межбюджетного трансферта, установленное Соглашением.</w:t>
      </w:r>
    </w:p>
    <w:p w:rsidR="00EB257A" w:rsidRPr="00EB257A" w:rsidRDefault="00EB25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57A">
        <w:rPr>
          <w:rFonts w:ascii="Times New Roman" w:hAnsi="Times New Roman" w:cs="Times New Roman"/>
          <w:sz w:val="28"/>
          <w:szCs w:val="28"/>
        </w:rPr>
        <w:t>14. Контроль за соблюдением условий, целей и правил предоставления иного межбюджетного трансферта осуществляется Департаментом и органами государственного финансового контроля Ивановской области.</w:t>
      </w:r>
    </w:p>
    <w:p w:rsidR="00EB257A" w:rsidRPr="00EB257A" w:rsidRDefault="00EB25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257A" w:rsidRPr="00EB257A" w:rsidRDefault="00EB25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14DD" w:rsidRPr="00EB257A" w:rsidRDefault="00D614DD">
      <w:pPr>
        <w:rPr>
          <w:rFonts w:ascii="Times New Roman" w:hAnsi="Times New Roman" w:cs="Times New Roman"/>
          <w:sz w:val="28"/>
          <w:szCs w:val="28"/>
        </w:rPr>
      </w:pPr>
    </w:p>
    <w:sectPr w:rsidR="00D614DD" w:rsidRPr="00EB257A" w:rsidSect="00030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7A"/>
    <w:rsid w:val="008B55A7"/>
    <w:rsid w:val="00D614DD"/>
    <w:rsid w:val="00EB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A09D2-86C4-4979-A5D6-13ECFA78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5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5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27B08EB0107D44296824BB9D1D485DE724FC5BF75F5BE969A79B7F22D30813B24EE9EF897FF235A2D02A56C3B01B90337ACD385CB43tF4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11364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2</cp:revision>
  <dcterms:created xsi:type="dcterms:W3CDTF">2023-09-26T14:56:00Z</dcterms:created>
  <dcterms:modified xsi:type="dcterms:W3CDTF">2023-09-26T15:03:00Z</dcterms:modified>
</cp:coreProperties>
</file>